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26" w:rsidRPr="00646810" w:rsidRDefault="009B6126" w:rsidP="009B612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6810">
        <w:rPr>
          <w:rFonts w:ascii="Times New Roman" w:hAnsi="Times New Roman" w:cs="Times New Roman"/>
          <w:b/>
          <w:sz w:val="24"/>
          <w:szCs w:val="24"/>
        </w:rPr>
        <w:t>Задание на инженерные изыскания</w:t>
      </w:r>
    </w:p>
    <w:p w:rsidR="00052D29" w:rsidRPr="001B762B" w:rsidRDefault="00052D29" w:rsidP="00052D2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62B">
        <w:rPr>
          <w:rFonts w:ascii="Times New Roman" w:hAnsi="Times New Roman" w:cs="Times New Roman"/>
          <w:b/>
          <w:sz w:val="24"/>
          <w:szCs w:val="24"/>
          <w:u w:val="single"/>
        </w:rPr>
        <w:t>Культурный центр</w:t>
      </w:r>
    </w:p>
    <w:p w:rsidR="009B6126" w:rsidRPr="00646810" w:rsidRDefault="00052D29" w:rsidP="00052D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B762B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1B762B">
        <w:rPr>
          <w:rFonts w:ascii="Times New Roman" w:hAnsi="Times New Roman" w:cs="Times New Roman"/>
          <w:sz w:val="24"/>
          <w:szCs w:val="24"/>
          <w:u w:val="single"/>
        </w:rPr>
        <w:t>Россия, г. Москва, Инновационный центр «Сколково»</w:t>
      </w:r>
    </w:p>
    <w:p w:rsidR="009B6126" w:rsidRPr="00646810" w:rsidRDefault="009B6126" w:rsidP="009B612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172F8F" w:rsidRPr="00646810" w:rsidTr="00905DFA">
        <w:trPr>
          <w:trHeight w:val="3160"/>
        </w:trPr>
        <w:tc>
          <w:tcPr>
            <w:tcW w:w="4749" w:type="dxa"/>
          </w:tcPr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4F8" w:rsidRDefault="007444F8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r w:rsidR="00744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Лумельский</w:t>
            </w:r>
            <w:r w:rsidR="007444F8">
              <w:rPr>
                <w:rFonts w:ascii="Times New Roman" w:hAnsi="Times New Roman" w:cs="Times New Roman"/>
                <w:sz w:val="24"/>
                <w:szCs w:val="24"/>
              </w:rPr>
              <w:t xml:space="preserve"> А.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713A4" w:rsidRDefault="001713A4" w:rsidP="001713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172F8F" w:rsidRPr="00646810" w:rsidRDefault="001713A4" w:rsidP="001713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      » </w:t>
            </w:r>
            <w:r w:rsidRPr="007444F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2013 г.</w:t>
            </w:r>
          </w:p>
        </w:tc>
        <w:tc>
          <w:tcPr>
            <w:tcW w:w="4749" w:type="dxa"/>
          </w:tcPr>
          <w:p w:rsidR="001713A4" w:rsidRDefault="00172F8F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13A4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1713A4" w:rsidRDefault="001713A4" w:rsidP="001713A4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1713A4" w:rsidRDefault="001713A4" w:rsidP="001713A4">
            <w:pPr>
              <w:spacing w:after="120"/>
              <w:ind w:lef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3A4" w:rsidRDefault="001713A4" w:rsidP="001713A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________________/Лаптев А. А./</w:t>
            </w:r>
          </w:p>
          <w:p w:rsidR="001713A4" w:rsidRDefault="001713A4" w:rsidP="001713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172F8F" w:rsidRPr="00646810" w:rsidRDefault="001713A4" w:rsidP="001713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</w:tr>
      <w:tr w:rsidR="00172F8F" w:rsidRPr="00646810" w:rsidTr="00905DFA">
        <w:trPr>
          <w:trHeight w:val="3488"/>
        </w:trPr>
        <w:tc>
          <w:tcPr>
            <w:tcW w:w="4749" w:type="dxa"/>
          </w:tcPr>
          <w:p w:rsidR="00172F8F" w:rsidRPr="00646810" w:rsidRDefault="00172F8F" w:rsidP="000C02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172F8F" w:rsidRPr="00646810" w:rsidRDefault="00172F8F" w:rsidP="000C02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F8F" w:rsidRPr="00646810" w:rsidTr="00905DFA">
        <w:trPr>
          <w:trHeight w:val="3488"/>
        </w:trPr>
        <w:tc>
          <w:tcPr>
            <w:tcW w:w="4749" w:type="dxa"/>
          </w:tcPr>
          <w:p w:rsidR="00172F8F" w:rsidRPr="00646810" w:rsidRDefault="00172F8F" w:rsidP="00905DF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172F8F" w:rsidRPr="00646810" w:rsidRDefault="00172F8F" w:rsidP="000C02B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3A4" w:rsidRDefault="001713A4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br w:type="page"/>
      </w:r>
    </w:p>
    <w:p w:rsidR="001713A4" w:rsidRDefault="001713A4" w:rsidP="001713A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1713A4" w:rsidRDefault="001713A4" w:rsidP="001713A4">
      <w:pPr>
        <w:jc w:val="both"/>
        <w:rPr>
          <w:rFonts w:ascii="Times New Roman" w:hAnsi="Times New Roman" w:cs="Times New Roman"/>
          <w:b/>
        </w:rPr>
      </w:pPr>
    </w:p>
    <w:p w:rsidR="001713A4" w:rsidRDefault="001713A4" w:rsidP="001713A4">
      <w:pPr>
        <w:jc w:val="both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Функциональный заказчик по объекту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(согласно Регламенту подготовки и приемки исходно-разрешительной и проектно-сметной документации для строительства объектов инновационного центра «Сколково» за счет средств субсидии)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А.Н. Тургенева</w:t>
            </w:r>
          </w:p>
          <w:p w:rsidR="008E1DD6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Директор Департамента по </w:t>
            </w:r>
            <w:proofErr w:type="gramStart"/>
            <w:r w:rsidR="008E1DD6">
              <w:rPr>
                <w:rFonts w:ascii="Times New Roman" w:hAnsi="Times New Roman" w:cs="Times New Roman"/>
                <w:sz w:val="24"/>
                <w:lang w:eastAsia="ru-RU"/>
              </w:rPr>
              <w:t>градостроительному</w:t>
            </w:r>
            <w:proofErr w:type="gramEnd"/>
          </w:p>
          <w:p w:rsidR="001713A4" w:rsidRDefault="008E1DD6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1713A4">
              <w:rPr>
                <w:rFonts w:ascii="Times New Roman" w:hAnsi="Times New Roman" w:cs="Times New Roman"/>
                <w:sz w:val="24"/>
                <w:lang w:eastAsia="ru-RU"/>
              </w:rPr>
              <w:t>регулированию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А.В. Соловьев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Директор Департамента имущественных и земельных отношений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А.Б. Беспалов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Директор Департамента по безопасности жизнедеятельности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Е.С. Гуляева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Руководитель Департамента мониторинга строительных проектов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1713A4" w:rsidTr="001713A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Н.А. Михаэлис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Руководитель Управления сметного контроля </w:t>
            </w:r>
          </w:p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A4" w:rsidRDefault="001713A4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</w:tbl>
    <w:p w:rsidR="001713A4" w:rsidRDefault="001713A4" w:rsidP="001713A4">
      <w:pPr>
        <w:rPr>
          <w:rFonts w:ascii="Times New Roman" w:hAnsi="Times New Roman" w:cs="Times New Roman"/>
          <w:b/>
          <w:sz w:val="24"/>
          <w:szCs w:val="24"/>
        </w:rPr>
      </w:pPr>
    </w:p>
    <w:p w:rsidR="001713A4" w:rsidRDefault="001713A4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713A4" w:rsidRDefault="001713A4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br w:type="page"/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1. Наименование объекта</w:t>
      </w:r>
    </w:p>
    <w:p w:rsidR="009B6126" w:rsidRPr="00646810" w:rsidRDefault="00A3358F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Культурный центр</w:t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2. Местоположение объекта</w:t>
      </w:r>
    </w:p>
    <w:p w:rsidR="009B6126" w:rsidRDefault="00152D53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 xml:space="preserve">Россия, </w:t>
      </w:r>
      <w:r w:rsidR="00A3358F">
        <w:rPr>
          <w:rFonts w:ascii="Times New Roman" w:hAnsi="Times New Roman" w:cs="Times New Roman"/>
          <w:sz w:val="24"/>
          <w:szCs w:val="24"/>
        </w:rPr>
        <w:t>Москва,</w:t>
      </w:r>
      <w:r w:rsidRPr="003F3AD1">
        <w:rPr>
          <w:rFonts w:ascii="Times New Roman" w:hAnsi="Times New Roman" w:cs="Times New Roman"/>
          <w:sz w:val="24"/>
          <w:szCs w:val="24"/>
        </w:rPr>
        <w:t xml:space="preserve"> Иннова</w:t>
      </w:r>
      <w:r w:rsidR="00A3358F">
        <w:rPr>
          <w:rFonts w:ascii="Times New Roman" w:hAnsi="Times New Roman" w:cs="Times New Roman"/>
          <w:sz w:val="24"/>
          <w:szCs w:val="24"/>
        </w:rPr>
        <w:t>ционный центр «Сколково»</w:t>
      </w:r>
      <w:r w:rsidR="00BA25A4">
        <w:rPr>
          <w:rFonts w:ascii="Times New Roman" w:hAnsi="Times New Roman" w:cs="Times New Roman"/>
          <w:sz w:val="24"/>
          <w:szCs w:val="24"/>
        </w:rPr>
        <w:t xml:space="preserve">, </w:t>
      </w:r>
      <w:r w:rsidR="002D218A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77:15:0020321:46. Код по ППТ – </w:t>
      </w:r>
      <w:r w:rsidR="002D218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2D218A">
        <w:rPr>
          <w:rFonts w:ascii="Times New Roman" w:hAnsi="Times New Roman" w:cs="Times New Roman"/>
          <w:sz w:val="24"/>
          <w:szCs w:val="24"/>
        </w:rPr>
        <w:t>1-05</w:t>
      </w:r>
    </w:p>
    <w:p w:rsidR="00A17F0D" w:rsidRPr="00BA25A4" w:rsidRDefault="00DB5C90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C74F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F84203" wp14:editId="50095829">
            <wp:extent cx="5940425" cy="3857944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 Вид строительства</w:t>
      </w:r>
    </w:p>
    <w:p w:rsidR="009B6126" w:rsidRPr="003F3AD1" w:rsidRDefault="009B6126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Новое строительство</w:t>
      </w:r>
      <w:r w:rsidR="00152D53" w:rsidRPr="003F3AD1">
        <w:rPr>
          <w:rFonts w:ascii="Times New Roman" w:hAnsi="Times New Roman" w:cs="Times New Roman"/>
          <w:sz w:val="24"/>
          <w:szCs w:val="24"/>
        </w:rPr>
        <w:t>.</w:t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4. Стадия проектирования (этап работ)</w:t>
      </w:r>
    </w:p>
    <w:p w:rsidR="009B6126" w:rsidRPr="003F3AD1" w:rsidRDefault="00152D53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Проектная документация стадии «ПД»</w:t>
      </w:r>
      <w:r w:rsidR="008D3198" w:rsidRPr="003F3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CB2" w:rsidRDefault="009B6126" w:rsidP="00A55CB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 Сроки проектирования и строительства</w:t>
      </w:r>
    </w:p>
    <w:p w:rsidR="00821931" w:rsidRPr="0021212C" w:rsidRDefault="00821931" w:rsidP="00A55CB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</w:pPr>
      <w:r w:rsidRPr="0021212C">
        <w:rPr>
          <w:rFonts w:ascii="Times New Roman" w:hAnsi="Times New Roman" w:cs="Times New Roman"/>
          <w:sz w:val="24"/>
          <w:szCs w:val="24"/>
        </w:rPr>
        <w:t>Сроки проектирования: апрель 2013 г. – август 2013г.</w:t>
      </w:r>
      <w:r w:rsidRPr="0021212C">
        <w:t xml:space="preserve"> </w:t>
      </w:r>
    </w:p>
    <w:p w:rsidR="00A55CB2" w:rsidRPr="0021212C" w:rsidRDefault="00A55CB2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1212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21931" w:rsidRPr="0021212C">
        <w:rPr>
          <w:rFonts w:ascii="Times New Roman" w:hAnsi="Times New Roman" w:cs="Times New Roman"/>
          <w:sz w:val="24"/>
          <w:szCs w:val="24"/>
        </w:rPr>
        <w:t>Сроки строительства (год ввода): сентябрь 2014 г.</w:t>
      </w:r>
    </w:p>
    <w:p w:rsidR="009B6126" w:rsidRPr="00646810" w:rsidRDefault="00821931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color w:val="1F497D"/>
        </w:rPr>
        <w:t xml:space="preserve"> </w:t>
      </w:r>
      <w:r w:rsidR="009B6126"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6. </w:t>
      </w:r>
      <w:r w:rsidR="004C2DD6"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Заказчик - застройщик</w:t>
      </w:r>
    </w:p>
    <w:p w:rsidR="0064669F" w:rsidRPr="003F3AD1" w:rsidRDefault="003C0D20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«Сколково»)»</w:t>
      </w:r>
    </w:p>
    <w:p w:rsidR="00CD02AE" w:rsidRPr="00A55CB2" w:rsidRDefault="0064669F" w:rsidP="00CD02AE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3F3AD1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 w:rsidR="00CD02AE" w:rsidRPr="00355F1E">
        <w:rPr>
          <w:rFonts w:ascii="Times New Roman" w:hAnsi="Times New Roman" w:cs="Times New Roman"/>
          <w:sz w:val="24"/>
          <w:szCs w:val="24"/>
        </w:rPr>
        <w:t>143005, Московская область, Одинцовский район, г. Одинцово, ул. Луговая, д. 4</w:t>
      </w:r>
      <w:proofErr w:type="gramEnd"/>
    </w:p>
    <w:p w:rsidR="0064669F" w:rsidRPr="003F3AD1" w:rsidRDefault="0064669F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4669F" w:rsidRPr="003F3AD1" w:rsidRDefault="0064669F" w:rsidP="00CD02AE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3F3AD1">
        <w:rPr>
          <w:rFonts w:ascii="Times New Roman" w:hAnsi="Times New Roman" w:cs="Times New Roman"/>
          <w:sz w:val="24"/>
          <w:szCs w:val="24"/>
        </w:rPr>
        <w:t xml:space="preserve">Почтовый адрес: 143005, Московская область, </w:t>
      </w:r>
      <w:r w:rsidR="00CD02AE" w:rsidRPr="00355F1E">
        <w:rPr>
          <w:rFonts w:ascii="Times New Roman" w:hAnsi="Times New Roman" w:cs="Times New Roman"/>
          <w:sz w:val="24"/>
          <w:szCs w:val="24"/>
        </w:rPr>
        <w:t>Одинцовский район,</w:t>
      </w:r>
      <w:r w:rsidR="00CD02AE" w:rsidRPr="00CD02AE">
        <w:rPr>
          <w:rFonts w:ascii="Times New Roman" w:hAnsi="Times New Roman" w:cs="Times New Roman"/>
          <w:sz w:val="24"/>
          <w:szCs w:val="24"/>
        </w:rPr>
        <w:t xml:space="preserve"> </w:t>
      </w:r>
      <w:r w:rsidRPr="003F3AD1">
        <w:rPr>
          <w:rFonts w:ascii="Times New Roman" w:hAnsi="Times New Roman" w:cs="Times New Roman"/>
          <w:sz w:val="24"/>
          <w:szCs w:val="24"/>
        </w:rPr>
        <w:t>г. Одинцово, ул.</w:t>
      </w:r>
      <w:r w:rsidR="00CD02A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F3AD1">
        <w:rPr>
          <w:rFonts w:ascii="Times New Roman" w:hAnsi="Times New Roman" w:cs="Times New Roman"/>
          <w:sz w:val="24"/>
          <w:szCs w:val="24"/>
        </w:rPr>
        <w:t>Луговая, д.4.</w:t>
      </w:r>
      <w:proofErr w:type="gramEnd"/>
    </w:p>
    <w:p w:rsidR="0064669F" w:rsidRPr="003F3AD1" w:rsidRDefault="0064669F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Тел.: +7 495 967 0148</w:t>
      </w:r>
    </w:p>
    <w:p w:rsidR="0064669F" w:rsidRPr="003F3AD1" w:rsidRDefault="0064669F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Факс: +7 495 967 0148 доб. 2153</w:t>
      </w:r>
    </w:p>
    <w:p w:rsidR="009B6126" w:rsidRPr="003F3AD1" w:rsidRDefault="0064669F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Генеральный директор Лумельский А. М.</w:t>
      </w:r>
    </w:p>
    <w:p w:rsidR="009B6126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 xml:space="preserve">7. Характеристика проектируемых и реконструируемых объектов </w:t>
      </w:r>
    </w:p>
    <w:p w:rsidR="00424648" w:rsidRDefault="00424648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Культурный центр</w:t>
      </w:r>
    </w:p>
    <w:p w:rsidR="00424648" w:rsidRDefault="00424648" w:rsidP="0042464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 стоящее здание социально культурного назначения общей площадью не более 6 000 кв. м.</w:t>
      </w:r>
    </w:p>
    <w:p w:rsidR="00424648" w:rsidRDefault="00424648" w:rsidP="0042464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Ориентировочный состав помещений Объекта:</w:t>
      </w:r>
    </w:p>
    <w:p w:rsidR="004C1024" w:rsidRDefault="005E78D0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Трансформируемый м</w:t>
      </w:r>
      <w:r w:rsidRPr="00104433">
        <w:rPr>
          <w:szCs w:val="24"/>
        </w:rPr>
        <w:t xml:space="preserve">ногофункциональный </w:t>
      </w:r>
      <w:r>
        <w:rPr>
          <w:szCs w:val="24"/>
        </w:rPr>
        <w:t>зал переменной вместимости от 250 до 800 человек</w:t>
      </w:r>
      <w:r w:rsidR="004C1024">
        <w:rPr>
          <w:szCs w:val="24"/>
        </w:rPr>
        <w:t xml:space="preserve"> с фойе и гардеробной зоной</w:t>
      </w:r>
    </w:p>
    <w:p w:rsidR="006F425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Зал-конструктор «</w:t>
      </w:r>
      <w:r>
        <w:rPr>
          <w:szCs w:val="24"/>
          <w:lang w:val="en-US"/>
        </w:rPr>
        <w:t>Black Box</w:t>
      </w:r>
      <w:r>
        <w:rPr>
          <w:szCs w:val="24"/>
        </w:rPr>
        <w:t>»</w:t>
      </w:r>
      <w:r w:rsidR="006F4253">
        <w:rPr>
          <w:szCs w:val="24"/>
        </w:rPr>
        <w:t>;</w:t>
      </w:r>
    </w:p>
    <w:p w:rsidR="006F4253" w:rsidRDefault="006F4253" w:rsidP="006F4253">
      <w:pPr>
        <w:pStyle w:val="a3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Зал муниципальных приемов;</w:t>
      </w:r>
    </w:p>
    <w:p w:rsidR="004C1024" w:rsidRPr="006F4253" w:rsidRDefault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 w:rsidRPr="006F4253">
        <w:rPr>
          <w:szCs w:val="24"/>
        </w:rPr>
        <w:t>Артистические уборные;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Выставочное пространство, возможно интегрированное с фойе многофункционального зала, с возможностью использования внешних стен и прилегающего ландшафта;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  <w:lang w:val="en-US"/>
        </w:rPr>
      </w:pPr>
      <w:r w:rsidRPr="00104433">
        <w:rPr>
          <w:szCs w:val="24"/>
        </w:rPr>
        <w:t>Медиа</w:t>
      </w:r>
      <w:r w:rsidRPr="00104433">
        <w:rPr>
          <w:szCs w:val="24"/>
          <w:lang w:val="en-US"/>
        </w:rPr>
        <w:t>-</w:t>
      </w:r>
      <w:r w:rsidRPr="00104433">
        <w:rPr>
          <w:szCs w:val="24"/>
        </w:rPr>
        <w:t>библиотек</w:t>
      </w:r>
      <w:r>
        <w:rPr>
          <w:szCs w:val="24"/>
        </w:rPr>
        <w:t>а</w:t>
      </w:r>
      <w:r w:rsidRPr="00104433">
        <w:rPr>
          <w:szCs w:val="24"/>
          <w:lang w:val="en-US"/>
        </w:rPr>
        <w:t>-</w:t>
      </w:r>
      <w:proofErr w:type="gramStart"/>
      <w:r w:rsidRPr="00104433">
        <w:rPr>
          <w:szCs w:val="24"/>
          <w:lang w:val="en-US"/>
        </w:rPr>
        <w:t>co</w:t>
      </w:r>
      <w:proofErr w:type="gramEnd"/>
      <w:r w:rsidRPr="00104433">
        <w:rPr>
          <w:szCs w:val="24"/>
          <w:lang w:val="en-US"/>
        </w:rPr>
        <w:t xml:space="preserve">-working </w:t>
      </w:r>
      <w:r>
        <w:rPr>
          <w:szCs w:val="24"/>
        </w:rPr>
        <w:t>зона</w:t>
      </w:r>
      <w:r w:rsidRPr="00104433">
        <w:rPr>
          <w:szCs w:val="24"/>
          <w:lang w:val="en-US"/>
        </w:rPr>
        <w:t>,</w:t>
      </w:r>
    </w:p>
    <w:p w:rsidR="004C1024" w:rsidRPr="00BF439D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 w:rsidRPr="00BF439D">
        <w:rPr>
          <w:szCs w:val="24"/>
        </w:rPr>
        <w:t>Студии, художественные мастерские, учебные классы;</w:t>
      </w:r>
    </w:p>
    <w:p w:rsidR="004C1024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Блок душевых;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Ритейл;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 w:rsidRPr="00104433">
        <w:rPr>
          <w:szCs w:val="24"/>
        </w:rPr>
        <w:t>Пункт</w:t>
      </w:r>
      <w:r>
        <w:rPr>
          <w:szCs w:val="24"/>
        </w:rPr>
        <w:t>ы</w:t>
      </w:r>
      <w:r w:rsidRPr="00104433">
        <w:rPr>
          <w:szCs w:val="24"/>
        </w:rPr>
        <w:t xml:space="preserve"> </w:t>
      </w:r>
      <w:r>
        <w:rPr>
          <w:szCs w:val="24"/>
        </w:rPr>
        <w:t xml:space="preserve">общественного </w:t>
      </w:r>
      <w:proofErr w:type="gramStart"/>
      <w:r>
        <w:rPr>
          <w:szCs w:val="24"/>
        </w:rPr>
        <w:t>питания</w:t>
      </w:r>
      <w:proofErr w:type="gramEnd"/>
      <w:r>
        <w:rPr>
          <w:szCs w:val="24"/>
        </w:rPr>
        <w:t xml:space="preserve"> </w:t>
      </w:r>
      <w:r w:rsidR="00C80AFC">
        <w:rPr>
          <w:szCs w:val="24"/>
        </w:rPr>
        <w:t>интегрированные</w:t>
      </w:r>
      <w:r>
        <w:rPr>
          <w:szCs w:val="24"/>
        </w:rPr>
        <w:t xml:space="preserve"> в фойе и зону </w:t>
      </w:r>
      <w:r w:rsidRPr="00BF439D">
        <w:rPr>
          <w:szCs w:val="24"/>
        </w:rPr>
        <w:t xml:space="preserve"> </w:t>
      </w:r>
      <w:r w:rsidRPr="00104433">
        <w:rPr>
          <w:szCs w:val="24"/>
          <w:lang w:val="en-US"/>
        </w:rPr>
        <w:t>co</w:t>
      </w:r>
      <w:r w:rsidRPr="00BF439D">
        <w:rPr>
          <w:szCs w:val="24"/>
        </w:rPr>
        <w:t>-</w:t>
      </w:r>
      <w:r w:rsidRPr="00104433">
        <w:rPr>
          <w:szCs w:val="24"/>
          <w:lang w:val="en-US"/>
        </w:rPr>
        <w:t>working</w:t>
      </w:r>
    </w:p>
    <w:p w:rsidR="004C1024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 w:rsidRPr="00104433">
        <w:rPr>
          <w:szCs w:val="24"/>
        </w:rPr>
        <w:t>Инженерно-технические помещения</w:t>
      </w:r>
      <w:r>
        <w:rPr>
          <w:szCs w:val="24"/>
        </w:rPr>
        <w:t>.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>
        <w:rPr>
          <w:szCs w:val="24"/>
        </w:rPr>
        <w:t>Помещения для персонала</w:t>
      </w:r>
    </w:p>
    <w:p w:rsidR="004C1024" w:rsidRPr="00104433" w:rsidRDefault="004C1024" w:rsidP="004C1024">
      <w:pPr>
        <w:pStyle w:val="a3"/>
        <w:numPr>
          <w:ilvl w:val="0"/>
          <w:numId w:val="10"/>
        </w:numPr>
        <w:spacing w:after="120"/>
        <w:jc w:val="both"/>
        <w:rPr>
          <w:szCs w:val="24"/>
        </w:rPr>
      </w:pPr>
      <w:r w:rsidRPr="00104433">
        <w:rPr>
          <w:szCs w:val="24"/>
        </w:rPr>
        <w:t>Складские помещения</w:t>
      </w:r>
      <w:r>
        <w:rPr>
          <w:szCs w:val="24"/>
        </w:rPr>
        <w:t>.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8. Характеристика ожидаемых воздействий объектов строительства на природную среду </w:t>
      </w:r>
    </w:p>
    <w:p w:rsidR="008D3198" w:rsidRPr="003F3AD1" w:rsidRDefault="008D3198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>В результате застройки территории ожидается развитие техногенного горизонта типа «верховодка», т.е. на таких участках территория будет являться подтопленной, что потребует проведения специальных мероприятий для обеспечения нормальных условий эксплуатации.</w:t>
      </w:r>
    </w:p>
    <w:p w:rsidR="008D3198" w:rsidRPr="00127658" w:rsidRDefault="009B6126" w:rsidP="003F3AD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9. Исходные данные для обоснования мероприятий по рациональному природопользованию и охране природной среды, обеспечению устойчивости проектируемых зданий и сооружений и безопасных условий жизни населения</w:t>
      </w:r>
    </w:p>
    <w:p w:rsidR="009B6126" w:rsidRPr="003F3AD1" w:rsidRDefault="000C2331" w:rsidP="003F3AD1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3AD1">
        <w:rPr>
          <w:rFonts w:ascii="Times New Roman" w:hAnsi="Times New Roman" w:cs="Times New Roman"/>
          <w:sz w:val="24"/>
          <w:szCs w:val="24"/>
        </w:rPr>
        <w:t xml:space="preserve">Материалы инженерно-экологических, инженерно-геологических, </w:t>
      </w:r>
      <w:r w:rsidR="003F5DDE">
        <w:rPr>
          <w:rFonts w:ascii="Times New Roman" w:hAnsi="Times New Roman" w:cs="Times New Roman"/>
          <w:sz w:val="24"/>
          <w:szCs w:val="24"/>
        </w:rPr>
        <w:t xml:space="preserve">инженерно-геодезических, </w:t>
      </w:r>
      <w:r w:rsidRPr="003F3AD1">
        <w:rPr>
          <w:rFonts w:ascii="Times New Roman" w:hAnsi="Times New Roman" w:cs="Times New Roman"/>
          <w:sz w:val="24"/>
          <w:szCs w:val="24"/>
        </w:rPr>
        <w:t xml:space="preserve"> выполненных ГУП «Мосгоргеотрест» и инженерно-гидрогеологических  изысканий, выполненных ЗАО «ДАР/ВОДГЕО», ООО «ВТМ дорпроект».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12765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10. Сведения и данные о проектируемых объектах, мероприятиях инженерной защиты территорий, зданий и сооружений, о необходимости санации территории </w:t>
      </w:r>
    </w:p>
    <w:p w:rsidR="009B6126" w:rsidRPr="00646810" w:rsidRDefault="008D3198" w:rsidP="00127658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11. Цели и виды инженерных изысканий</w:t>
      </w:r>
    </w:p>
    <w:p w:rsidR="0003324E" w:rsidRPr="003F3AD1" w:rsidRDefault="0098219B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 xml:space="preserve">инженерно-геодезические, </w:t>
      </w:r>
    </w:p>
    <w:p w:rsidR="0003324E" w:rsidRPr="003F3AD1" w:rsidRDefault="0098219B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 xml:space="preserve">инженерно-геологические, </w:t>
      </w:r>
    </w:p>
    <w:p w:rsidR="0003324E" w:rsidRPr="003F3AD1" w:rsidRDefault="0098219B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инженерно-гидро</w:t>
      </w:r>
      <w:r w:rsidR="000C2331" w:rsidRPr="003F3AD1">
        <w:rPr>
          <w:szCs w:val="24"/>
        </w:rPr>
        <w:t>геологические</w:t>
      </w:r>
      <w:r w:rsidRPr="003F3AD1">
        <w:rPr>
          <w:szCs w:val="24"/>
        </w:rPr>
        <w:t xml:space="preserve">, </w:t>
      </w:r>
    </w:p>
    <w:p w:rsidR="009B6126" w:rsidRDefault="000C36BD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инженерно-метеорологические</w:t>
      </w:r>
    </w:p>
    <w:p w:rsidR="00EE071A" w:rsidRPr="003F3AD1" w:rsidRDefault="00EE071A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>
        <w:rPr>
          <w:szCs w:val="24"/>
        </w:rPr>
        <w:t>инженерно-экологические.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12. Перечень нормативных документов, в соответствии с требованиями которых необходимо выполнять инженерные изыскания </w:t>
      </w:r>
    </w:p>
    <w:p w:rsidR="00934DAA" w:rsidRPr="003F3AD1" w:rsidRDefault="00934DAA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СНиП 11-02-96. Инженерные изыскания для строительства. Основные положения.</w:t>
      </w:r>
    </w:p>
    <w:p w:rsidR="009B6126" w:rsidRPr="003F3AD1" w:rsidRDefault="00FF61F8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 xml:space="preserve">ГОСТ </w:t>
      </w:r>
      <w:proofErr w:type="gramStart"/>
      <w:r w:rsidRPr="003F3AD1">
        <w:rPr>
          <w:szCs w:val="24"/>
        </w:rPr>
        <w:t>Р</w:t>
      </w:r>
      <w:proofErr w:type="gramEnd"/>
      <w:r w:rsidRPr="003F3AD1">
        <w:rPr>
          <w:szCs w:val="24"/>
        </w:rPr>
        <w:t xml:space="preserve"> 54257-2010. Национальный стандарт Российской Федерации. Надежность строительных конструкций и оснований. Основные положения и требования.</w:t>
      </w:r>
    </w:p>
    <w:p w:rsidR="00AF1577" w:rsidRPr="003F3AD1" w:rsidRDefault="00AF1577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СНиП 22-01-95. Геофизика опасных природных воздействий</w:t>
      </w:r>
      <w:r w:rsidR="00934DAA" w:rsidRPr="003F3AD1">
        <w:rPr>
          <w:szCs w:val="24"/>
        </w:rPr>
        <w:t>.</w:t>
      </w:r>
    </w:p>
    <w:p w:rsidR="00934DAA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СП 11-102-97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СП 11-105-97</w:t>
      </w:r>
    </w:p>
    <w:p w:rsidR="009B6126" w:rsidRPr="003F3AD1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F3AD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13. </w:t>
      </w:r>
      <w:proofErr w:type="gramStart"/>
      <w:r w:rsidRPr="003F3AD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Сведения о ранее выполненных инженерных изысканиях и исследованиях, данные о наблюдавшихся в районе объекта строительства (на площадке, трассе) осложнениях в процессе строительства и эксплуатации сооружений (деформациях и аварийных ситуациях)</w:t>
      </w:r>
      <w:proofErr w:type="gramEnd"/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 xml:space="preserve">Имеются </w:t>
      </w:r>
      <w:r w:rsidR="00127658" w:rsidRPr="003F3AD1">
        <w:rPr>
          <w:szCs w:val="24"/>
        </w:rPr>
        <w:t xml:space="preserve">инженерные </w:t>
      </w:r>
      <w:r w:rsidR="003F5DDE" w:rsidRPr="003F3AD1">
        <w:rPr>
          <w:szCs w:val="24"/>
        </w:rPr>
        <w:t>изыскания,</w:t>
      </w:r>
      <w:r w:rsidRPr="003F3AD1">
        <w:rPr>
          <w:szCs w:val="24"/>
        </w:rPr>
        <w:t xml:space="preserve"> выполненные на стадии «предпроектная документация»: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«Инженерно-гидрогеологические», ЗАО «ДАР/ВОДГЕО», 2012г.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«Инженерно-геодезические изыскания — инженерно-топографическая съемка участка</w:t>
      </w:r>
      <w:r w:rsidR="003F5DDE">
        <w:rPr>
          <w:szCs w:val="24"/>
        </w:rPr>
        <w:t xml:space="preserve"> </w:t>
      </w:r>
      <w:r w:rsidRPr="003F3AD1">
        <w:rPr>
          <w:szCs w:val="24"/>
        </w:rPr>
        <w:t>в масштабе 1:500» , ГУП «Мосгоргеотрест», 2011г.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«Инженерно-геологические изыскания», ГУП «Мосгоргеотрест», 2010г.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«Инженерно-геологические изыскания», ООО «Геолоджикс», 2010г.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«Инженерно-экологические изыскания», ГУП «Мосгоргеотрест», 2010г.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«Инженерные изыскания (инженерно-геологические работы) для строительства автомобильных дорог, инженерных сетей и искусственных сооружений на территории Инновационного центра «Сколково», ООО «Меридиан», 2012г.</w:t>
      </w:r>
    </w:p>
    <w:p w:rsidR="00320164" w:rsidRPr="003F3AD1" w:rsidRDefault="00320164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 xml:space="preserve">«Инженерно-гидрогеологические изыскания для строительства автомобильных дорог», ООО «ВТМ дорпроект», 2012г. </w:t>
      </w:r>
    </w:p>
    <w:p w:rsidR="009B6126" w:rsidRPr="00127658" w:rsidRDefault="009B6126" w:rsidP="003F3AD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14. Дополнительные сведения и требования к производству отдельных видов инженерных изысканий, включая отраслевую специфику проектируемого сооружения</w:t>
      </w:r>
    </w:p>
    <w:p w:rsidR="00656F4A" w:rsidRDefault="003F3AD1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701E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</w:p>
    <w:p w:rsidR="00656F4A" w:rsidRDefault="00656F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15.1. Инженерно-геодезические изыскания </w:t>
      </w:r>
    </w:p>
    <w:p w:rsidR="009B6126" w:rsidRPr="00646810" w:rsidRDefault="009B6126" w:rsidP="00656F4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и указания по проведению инженерно-геодезические изысканий</w:t>
      </w: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"/>
        <w:gridCol w:w="4748"/>
        <w:gridCol w:w="1276"/>
        <w:gridCol w:w="1843"/>
        <w:gridCol w:w="1285"/>
      </w:tblGrid>
      <w:tr w:rsidR="009B6126" w:rsidRPr="00646810" w:rsidTr="004A007C">
        <w:trPr>
          <w:cantSplit/>
          <w:tblHeader/>
        </w:trPr>
        <w:tc>
          <w:tcPr>
            <w:tcW w:w="355" w:type="dxa"/>
            <w:tcBorders>
              <w:bottom w:val="double" w:sz="4" w:space="0" w:color="auto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8" w:type="dxa"/>
            <w:tcBorders>
              <w:left w:val="nil"/>
              <w:bottom w:val="double" w:sz="4" w:space="0" w:color="auto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285" w:type="dxa"/>
            <w:tcBorders>
              <w:bottom w:val="double" w:sz="4" w:space="0" w:color="auto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</w:t>
            </w: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чание</w:t>
            </w: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double" w:sz="4" w:space="0" w:color="auto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8" w:type="dxa"/>
            <w:tcBorders>
              <w:top w:val="double" w:sz="4" w:space="0" w:color="auto"/>
              <w:lef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Принятая система координат и высот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9B6126" w:rsidRPr="00646810" w:rsidRDefault="00B567FB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</w:p>
        </w:tc>
        <w:tc>
          <w:tcPr>
            <w:tcW w:w="1285" w:type="dxa"/>
            <w:tcBorders>
              <w:top w:val="double" w:sz="4" w:space="0" w:color="auto"/>
            </w:tcBorders>
          </w:tcPr>
          <w:p w:rsidR="009B6126" w:rsidRPr="00646810" w:rsidRDefault="00B567FB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система координат</w:t>
            </w:r>
            <w:r w:rsidR="000C0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высот</w:t>
            </w: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bottom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Топографическая съемка:</w:t>
            </w:r>
          </w:p>
          <w:p w:rsidR="000C36BD" w:rsidRPr="00646810" w:rsidRDefault="000C36BD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0ED3" w:rsidRPr="00646810" w:rsidRDefault="00DA0ED3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сечения рельефа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0973" w:rsidRPr="00646810" w:rsidRDefault="007F223A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границах ГПЗУ</w:t>
            </w:r>
            <w:r w:rsidR="00B06AAD"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+ 20 м по периметру</w:t>
            </w:r>
          </w:p>
          <w:p w:rsidR="009B6126" w:rsidRPr="00646810" w:rsidRDefault="00C80AFC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0,59 </w:t>
            </w:r>
            <w:r w:rsidR="00BA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:rsidR="007F223A" w:rsidRPr="00646810" w:rsidRDefault="007F223A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1:500</w:t>
            </w:r>
          </w:p>
          <w:p w:rsidR="00DA0ED3" w:rsidRPr="00646810" w:rsidRDefault="00DA0ED3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 м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bottom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Съемка текущих изменений:</w:t>
            </w: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сечения рельефа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6126" w:rsidRPr="00646810" w:rsidRDefault="007F223A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bottom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Съемка и обследование надземных коммуникаций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6126" w:rsidRPr="00646810" w:rsidRDefault="00A14272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по необходимости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bottom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Съемка и обследование подземных коммуникаций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колодец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6126" w:rsidRPr="00646810" w:rsidRDefault="00A14272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по необходимости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bottom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8" w:type="dxa"/>
            <w:tcBorders>
              <w:top w:val="nil"/>
              <w:left w:val="nil"/>
              <w:bottom w:val="nil"/>
            </w:tcBorders>
          </w:tcPr>
          <w:p w:rsidR="009B6126" w:rsidRPr="00646810" w:rsidRDefault="009B6126" w:rsidP="00EB79B3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Промерные работы в масштабе 1</w:t>
            </w:r>
            <w:r w:rsidR="00EB79B3"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6126" w:rsidRPr="00646810" w:rsidRDefault="007F223A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126" w:rsidRPr="00646810" w:rsidTr="004A007C">
        <w:trPr>
          <w:cantSplit/>
        </w:trPr>
        <w:tc>
          <w:tcPr>
            <w:tcW w:w="355" w:type="dxa"/>
            <w:tcBorders>
              <w:top w:val="nil"/>
              <w:righ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8" w:type="dxa"/>
            <w:tcBorders>
              <w:top w:val="nil"/>
              <w:left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Привязка геологических скважин</w:t>
            </w:r>
          </w:p>
        </w:tc>
        <w:tc>
          <w:tcPr>
            <w:tcW w:w="1276" w:type="dxa"/>
            <w:tcBorders>
              <w:top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</w:tcPr>
          <w:p w:rsidR="009B6126" w:rsidRPr="00646810" w:rsidRDefault="000C36BD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программой изысканий</w:t>
            </w:r>
          </w:p>
        </w:tc>
        <w:tc>
          <w:tcPr>
            <w:tcW w:w="1285" w:type="dxa"/>
            <w:tcBorders>
              <w:top w:val="nil"/>
            </w:tcBorders>
          </w:tcPr>
          <w:p w:rsidR="009B6126" w:rsidRPr="00646810" w:rsidRDefault="009B6126" w:rsidP="00A07936">
            <w:pPr>
              <w:tabs>
                <w:tab w:val="left" w:pos="1361"/>
                <w:tab w:val="left" w:pos="1786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6126" w:rsidRPr="00646810" w:rsidRDefault="009B6126" w:rsidP="009B61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15.2. Инженерно-геологические изыскания</w:t>
      </w:r>
    </w:p>
    <w:p w:rsidR="009B6126" w:rsidRPr="00646810" w:rsidRDefault="009B6126" w:rsidP="003106BB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 </w:t>
      </w: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Данные по п. а) и б) могут быть приведены в виде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3060"/>
        <w:gridCol w:w="720"/>
        <w:gridCol w:w="849"/>
        <w:gridCol w:w="976"/>
      </w:tblGrid>
      <w:tr w:rsidR="009B6126" w:rsidRPr="00646810" w:rsidTr="007F223A">
        <w:trPr>
          <w:cantSplit/>
          <w:tblHeader/>
        </w:trPr>
        <w:tc>
          <w:tcPr>
            <w:tcW w:w="3936" w:type="dxa"/>
            <w:vMerge w:val="restart"/>
          </w:tcPr>
          <w:p w:rsidR="009B6126" w:rsidRPr="00646810" w:rsidRDefault="009B6126" w:rsidP="007F223A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проектируемых </w:t>
            </w: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зданий и сооружений</w:t>
            </w:r>
          </w:p>
        </w:tc>
        <w:tc>
          <w:tcPr>
            <w:tcW w:w="4629" w:type="dxa"/>
            <w:gridSpan w:val="3"/>
          </w:tcPr>
          <w:p w:rsidR="009B6126" w:rsidRPr="00646810" w:rsidRDefault="009B6126" w:rsidP="007F223A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для здания, сооружения</w:t>
            </w:r>
          </w:p>
        </w:tc>
        <w:tc>
          <w:tcPr>
            <w:tcW w:w="976" w:type="dxa"/>
            <w:vMerge w:val="restart"/>
          </w:tcPr>
          <w:p w:rsidR="009B6126" w:rsidRPr="00646810" w:rsidRDefault="009B6126" w:rsidP="007F223A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</w:t>
            </w: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чание</w:t>
            </w:r>
          </w:p>
        </w:tc>
      </w:tr>
      <w:tr w:rsidR="007F223A" w:rsidRPr="00646810" w:rsidTr="007F223A">
        <w:trPr>
          <w:cantSplit/>
          <w:trHeight w:val="57"/>
          <w:tblHeader/>
        </w:trPr>
        <w:tc>
          <w:tcPr>
            <w:tcW w:w="3936" w:type="dxa"/>
            <w:vMerge/>
            <w:tcBorders>
              <w:bottom w:val="double" w:sz="4" w:space="0" w:color="auto"/>
            </w:tcBorders>
          </w:tcPr>
          <w:p w:rsidR="007F223A" w:rsidRPr="00540E0B" w:rsidRDefault="007F223A" w:rsidP="007F223A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9" w:type="dxa"/>
            <w:gridSpan w:val="3"/>
            <w:tcBorders>
              <w:bottom w:val="double" w:sz="4" w:space="0" w:color="auto"/>
            </w:tcBorders>
          </w:tcPr>
          <w:p w:rsidR="007F223A" w:rsidRPr="00540E0B" w:rsidRDefault="007F223A" w:rsidP="007F223A">
            <w:pPr>
              <w:keepNext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  <w:tcBorders>
              <w:bottom w:val="double" w:sz="4" w:space="0" w:color="auto"/>
            </w:tcBorders>
          </w:tcPr>
          <w:p w:rsidR="007F223A" w:rsidRPr="00540E0B" w:rsidRDefault="007F223A" w:rsidP="007F223A">
            <w:pPr>
              <w:keepNext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  <w:tcBorders>
              <w:top w:val="double" w:sz="4" w:space="0" w:color="auto"/>
              <w:bottom w:val="single" w:sz="4" w:space="0" w:color="auto"/>
            </w:tcBorders>
          </w:tcPr>
          <w:p w:rsidR="007F223A" w:rsidRPr="00646810" w:rsidRDefault="007F223A" w:rsidP="007F223A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Номер по экспликации</w:t>
            </w:r>
          </w:p>
        </w:tc>
        <w:tc>
          <w:tcPr>
            <w:tcW w:w="4629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7F223A" w:rsidRPr="00646810" w:rsidRDefault="00520973" w:rsidP="007F223A">
            <w:pPr>
              <w:keepNext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double" w:sz="4" w:space="0" w:color="auto"/>
              <w:bottom w:val="single" w:sz="4" w:space="0" w:color="auto"/>
            </w:tcBorders>
          </w:tcPr>
          <w:p w:rsidR="007F223A" w:rsidRPr="00646810" w:rsidRDefault="007F223A" w:rsidP="007F223A">
            <w:pPr>
              <w:keepNext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для РД</w:t>
            </w:r>
          </w:p>
        </w:tc>
      </w:tr>
      <w:tr w:rsidR="007F223A" w:rsidRPr="00646810" w:rsidTr="007F223A">
        <w:trPr>
          <w:cantSplit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7F223A" w:rsidRPr="00646810" w:rsidRDefault="007F223A" w:rsidP="000C6676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 ответственности сооружения, здания</w:t>
            </w:r>
          </w:p>
        </w:tc>
        <w:tc>
          <w:tcPr>
            <w:tcW w:w="4629" w:type="dxa"/>
            <w:gridSpan w:val="3"/>
            <w:tcBorders>
              <w:top w:val="single" w:sz="4" w:space="0" w:color="auto"/>
            </w:tcBorders>
          </w:tcPr>
          <w:p w:rsidR="007F223A" w:rsidRPr="00646810" w:rsidRDefault="007F223A" w:rsidP="007F223A">
            <w:pPr>
              <w:keepNext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</w:tcBorders>
            <w:vAlign w:val="center"/>
          </w:tcPr>
          <w:p w:rsidR="007F223A" w:rsidRPr="00646810" w:rsidRDefault="007F223A" w:rsidP="007F223A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стадий и этапов</w:t>
            </w: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Количество этажей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Размеры в плане, </w:t>
            </w:r>
            <w:proofErr w:type="gram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4629" w:type="dxa"/>
            <w:gridSpan w:val="3"/>
            <w:tcBorders>
              <w:right w:val="single" w:sz="4" w:space="0" w:color="auto"/>
            </w:tcBorders>
          </w:tcPr>
          <w:p w:rsidR="007F223A" w:rsidRPr="00646810" w:rsidRDefault="000C6676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</w:t>
            </w: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Заглубление подземной части, </w:t>
            </w:r>
            <w:proofErr w:type="gram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4629" w:type="dxa"/>
            <w:gridSpan w:val="3"/>
            <w:tcBorders>
              <w:right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2-х метров</w:t>
            </w: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Предполагаемый тип фундамента, его заглубление, </w:t>
            </w:r>
            <w:proofErr w:type="gram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Фундаментная </w:t>
            </w:r>
            <w:r w:rsidR="005C0FA1"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лита, заглубление не более 2.0м 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Несущие конструкции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каркас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Наличие динамической нагрузки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Нагрузка на фундаменты, Н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4681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плиты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1.5тн/</w:t>
            </w:r>
            <w:proofErr w:type="spellStart"/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колонну</w:t>
            </w:r>
          </w:p>
        </w:tc>
        <w:tc>
          <w:tcPr>
            <w:tcW w:w="4629" w:type="dxa"/>
            <w:gridSpan w:val="3"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F223A">
        <w:trPr>
          <w:cantSplit/>
        </w:trPr>
        <w:tc>
          <w:tcPr>
            <w:tcW w:w="3936" w:type="dxa"/>
          </w:tcPr>
          <w:p w:rsidR="007F223A" w:rsidRPr="00646810" w:rsidRDefault="007F223A" w:rsidP="007F223A">
            <w:pPr>
              <w:spacing w:before="40" w:after="4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сваю (куст свай, свайное поле)</w:t>
            </w:r>
          </w:p>
        </w:tc>
        <w:tc>
          <w:tcPr>
            <w:tcW w:w="3060" w:type="dxa"/>
            <w:tcBorders>
              <w:righ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62D62">
        <w:trPr>
          <w:cantSplit/>
          <w:trHeight w:val="909"/>
        </w:trPr>
        <w:tc>
          <w:tcPr>
            <w:tcW w:w="3936" w:type="dxa"/>
          </w:tcPr>
          <w:p w:rsidR="007F223A" w:rsidRPr="00646810" w:rsidRDefault="007F223A" w:rsidP="009F416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Планировочные отметки поверх</w:t>
            </w: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(предварительные), м</w:t>
            </w:r>
          </w:p>
        </w:tc>
        <w:tc>
          <w:tcPr>
            <w:tcW w:w="3060" w:type="dxa"/>
            <w:tcBorders>
              <w:righ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nil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vMerge/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E2A7E">
        <w:trPr>
          <w:cantSplit/>
        </w:trPr>
        <w:tc>
          <w:tcPr>
            <w:tcW w:w="3936" w:type="dxa"/>
            <w:tcBorders>
              <w:bottom w:val="single" w:sz="4" w:space="0" w:color="auto"/>
            </w:tcBorders>
          </w:tcPr>
          <w:p w:rsidR="007F223A" w:rsidRPr="00646810" w:rsidRDefault="007F223A" w:rsidP="00BA25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Отметки линий кордона гидротехнических сооружений, м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vMerge/>
            <w:tcBorders>
              <w:bottom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23A" w:rsidRPr="00646810" w:rsidTr="007E2A7E">
        <w:trPr>
          <w:cantSplit/>
        </w:trPr>
        <w:tc>
          <w:tcPr>
            <w:tcW w:w="3936" w:type="dxa"/>
            <w:tcBorders>
              <w:bottom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Отметки дноуглубления, м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F223A" w:rsidRPr="00646810" w:rsidRDefault="007F223A" w:rsidP="007F22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vMerge/>
            <w:tcBorders>
              <w:bottom w:val="single" w:sz="4" w:space="0" w:color="auto"/>
            </w:tcBorders>
          </w:tcPr>
          <w:p w:rsidR="007F223A" w:rsidRPr="00646810" w:rsidRDefault="007F223A" w:rsidP="007F223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6126" w:rsidRPr="00656F4A" w:rsidRDefault="009B6126" w:rsidP="00656F4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к производству инженерно-геологических изысканий:</w:t>
      </w:r>
    </w:p>
    <w:p w:rsidR="009B6126" w:rsidRPr="003F3AD1" w:rsidRDefault="009B6126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определение коррозионной агрессивности</w:t>
      </w:r>
      <w:r w:rsidR="005C0FA1" w:rsidRPr="003F3AD1">
        <w:rPr>
          <w:szCs w:val="24"/>
        </w:rPr>
        <w:t xml:space="preserve">  </w:t>
      </w:r>
    </w:p>
    <w:p w:rsidR="009B6126" w:rsidRPr="003F3AD1" w:rsidRDefault="009B6126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выполнение полевых испытаний грунтов на участках зданий и сооружений (динамическое и статическое зондирование</w:t>
      </w:r>
      <w:r w:rsidR="00603EA4" w:rsidRPr="003F3AD1">
        <w:rPr>
          <w:szCs w:val="24"/>
        </w:rPr>
        <w:t xml:space="preserve"> </w:t>
      </w:r>
      <w:r w:rsidRPr="003F3AD1">
        <w:rPr>
          <w:szCs w:val="24"/>
        </w:rPr>
        <w:t>);</w:t>
      </w:r>
    </w:p>
    <w:p w:rsidR="009B6126" w:rsidRPr="003F3AD1" w:rsidRDefault="009B6126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выполнение геофизических исследований;</w:t>
      </w:r>
    </w:p>
    <w:p w:rsidR="006E794A" w:rsidRPr="003F3AD1" w:rsidRDefault="009B6126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3F3AD1">
        <w:rPr>
          <w:szCs w:val="24"/>
        </w:rPr>
        <w:t>выполнение гидрогеологических исследований (стационарные наблюдения, опытные откачки воды).</w:t>
      </w:r>
    </w:p>
    <w:p w:rsidR="006E794A" w:rsidRPr="00656F4A" w:rsidRDefault="006E794A" w:rsidP="00656F4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выполненных инженерных изысканий и обследований объектов проектирования должны быть представлены и выполнены:</w:t>
      </w:r>
    </w:p>
    <w:p w:rsidR="006E794A" w:rsidRPr="00646810" w:rsidRDefault="006E794A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646810">
        <w:rPr>
          <w:szCs w:val="24"/>
        </w:rPr>
        <w:t>Инженерно-геологические изыскания;</w:t>
      </w:r>
    </w:p>
    <w:p w:rsidR="006E794A" w:rsidRPr="00646810" w:rsidRDefault="006E794A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646810">
        <w:rPr>
          <w:szCs w:val="24"/>
        </w:rPr>
        <w:t>Гидрогеологические изыскания</w:t>
      </w:r>
    </w:p>
    <w:p w:rsidR="006E794A" w:rsidRPr="00646810" w:rsidRDefault="006E794A" w:rsidP="003F3AD1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4"/>
        </w:rPr>
      </w:pPr>
      <w:r w:rsidRPr="00646810">
        <w:rPr>
          <w:szCs w:val="24"/>
        </w:rPr>
        <w:t>Инженерно-геофизические изыскания</w:t>
      </w:r>
      <w:r w:rsidR="003106BB">
        <w:rPr>
          <w:szCs w:val="24"/>
        </w:rPr>
        <w:t>.</w:t>
      </w:r>
    </w:p>
    <w:p w:rsidR="006E794A" w:rsidRPr="003F3AD1" w:rsidRDefault="006E794A" w:rsidP="00656F4A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F3AD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Отчет по работам</w:t>
      </w:r>
    </w:p>
    <w:p w:rsidR="006E794A" w:rsidRPr="003F3AD1" w:rsidRDefault="006E794A" w:rsidP="00656F4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A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отчете отразить (включая но не ограничиваясь):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Геологические разрезы по площадкам.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 xml:space="preserve">Выполнить гидрогеологические изыскания в районе проектирования. Определить напорный или безнапорный горизонт грунтовых вод, мощность пласта, коэффициент фильтрации, коэффициент инфильтрации, глубину заложения </w:t>
      </w:r>
      <w:proofErr w:type="spellStart"/>
      <w:r w:rsidRPr="00646810">
        <w:rPr>
          <w:rFonts w:ascii="Times New Roman" w:hAnsi="Times New Roman" w:cs="Times New Roman"/>
          <w:sz w:val="24"/>
          <w:szCs w:val="24"/>
        </w:rPr>
        <w:t>водоупора</w:t>
      </w:r>
      <w:proofErr w:type="spellEnd"/>
      <w:r w:rsidRPr="00646810">
        <w:rPr>
          <w:rFonts w:ascii="Times New Roman" w:hAnsi="Times New Roman" w:cs="Times New Roman"/>
          <w:sz w:val="24"/>
          <w:szCs w:val="24"/>
        </w:rPr>
        <w:t xml:space="preserve">, качество (химический анализ) дренажных вод (грунтовых), направление потока грунтовых вод, источник питания грунтовых вод, расчетный </w:t>
      </w:r>
      <w:proofErr w:type="spellStart"/>
      <w:r w:rsidRPr="00646810">
        <w:rPr>
          <w:rFonts w:ascii="Times New Roman" w:hAnsi="Times New Roman" w:cs="Times New Roman"/>
          <w:sz w:val="24"/>
          <w:szCs w:val="24"/>
        </w:rPr>
        <w:t>водоприток</w:t>
      </w:r>
      <w:proofErr w:type="spellEnd"/>
      <w:r w:rsidRPr="00646810">
        <w:rPr>
          <w:rFonts w:ascii="Times New Roman" w:hAnsi="Times New Roman" w:cs="Times New Roman"/>
          <w:sz w:val="24"/>
          <w:szCs w:val="24"/>
        </w:rPr>
        <w:t xml:space="preserve"> в скважинах.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Дать прогноз изменения движения грунтовых вод с учетом проектируемых объектов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физико-географическую, инженерно-геологическую и гидрогеологическую,  характеристики района строительства;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физико-механические  характеристики грунтов;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глубину промерзания;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810">
        <w:rPr>
          <w:rFonts w:ascii="Times New Roman" w:hAnsi="Times New Roman" w:cs="Times New Roman"/>
          <w:sz w:val="24"/>
          <w:szCs w:val="24"/>
        </w:rPr>
        <w:t>пучинистость</w:t>
      </w:r>
      <w:proofErr w:type="spellEnd"/>
      <w:r w:rsidRPr="00646810">
        <w:rPr>
          <w:rFonts w:ascii="Times New Roman" w:hAnsi="Times New Roman" w:cs="Times New Roman"/>
          <w:sz w:val="24"/>
          <w:szCs w:val="24"/>
        </w:rPr>
        <w:t xml:space="preserve"> грунтов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характеристику грунтовых вод (агрессивность по отношению к бетону, металлу);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 xml:space="preserve">дать оценку потенциальной подтопляемости территории (участка) при величине критического подтопляющего уровня подземных вод </w:t>
      </w:r>
      <w:proofErr w:type="spellStart"/>
      <w:r w:rsidRPr="00646810">
        <w:rPr>
          <w:rFonts w:ascii="Times New Roman" w:hAnsi="Times New Roman" w:cs="Times New Roman"/>
          <w:sz w:val="24"/>
          <w:szCs w:val="24"/>
        </w:rPr>
        <w:t>Нс</w:t>
      </w:r>
      <w:proofErr w:type="spellEnd"/>
      <w:r w:rsidRPr="00646810">
        <w:rPr>
          <w:rFonts w:ascii="Times New Roman" w:hAnsi="Times New Roman" w:cs="Times New Roman"/>
          <w:sz w:val="24"/>
          <w:szCs w:val="24"/>
        </w:rPr>
        <w:t xml:space="preserve"> (глубина заложения фундамента), м;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Сведения о ранее выполненных инженерных изысканиях и исследованиях, данные о наблюдавшихся в районе строительства осложнениях в процессе строительства и эксплуатации сооружений (деформациях и аварийных ситуациях);</w:t>
      </w:r>
    </w:p>
    <w:p w:rsidR="006E794A" w:rsidRPr="00646810" w:rsidRDefault="006E794A" w:rsidP="006E794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810">
        <w:rPr>
          <w:rFonts w:ascii="Times New Roman" w:hAnsi="Times New Roman" w:cs="Times New Roman"/>
          <w:sz w:val="24"/>
          <w:szCs w:val="24"/>
        </w:rPr>
        <w:t>В случае проявления неблагоприятных инженерно – геологических процессов природного и техногенного характера выполнить их детальное изучение и выдать рекомендации по снижению их негативного воздействия на окружающую среду и обеспечению устойчивости проектируемых зданий и сооружений.</w:t>
      </w:r>
    </w:p>
    <w:p w:rsidR="009B6126" w:rsidRPr="00646810" w:rsidRDefault="006E794A" w:rsidP="00FE3158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hAnsi="Times New Roman" w:cs="Times New Roman"/>
          <w:sz w:val="24"/>
          <w:szCs w:val="24"/>
        </w:rPr>
        <w:t>Инженерно-геофизические изыскания должны быть выполнены в соответствии с требованиями нормативных документов</w:t>
      </w:r>
      <w:r w:rsidR="009B6126"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15.3. Инженерно-экологические изыскания</w:t>
      </w:r>
    </w:p>
    <w:p w:rsidR="009B6126" w:rsidRPr="00656F4A" w:rsidRDefault="009B6126" w:rsidP="00656F4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сведения</w:t>
      </w:r>
    </w:p>
    <w:p w:rsidR="00C701E7" w:rsidRPr="00646810" w:rsidRDefault="00C701E7" w:rsidP="00C701E7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9B6126" w:rsidRPr="00656F4A" w:rsidRDefault="009B6126" w:rsidP="0041534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к производству инженерно-экологических изысканий</w:t>
      </w:r>
    </w:p>
    <w:p w:rsidR="009B6126" w:rsidRDefault="00603EA4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10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существующего экологического состояния на площадке строительства;</w:t>
      </w:r>
    </w:p>
    <w:p w:rsidR="002E37FF" w:rsidRPr="00646810" w:rsidRDefault="002E37FF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7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по качеству почв и объему потенциально плодородного слоя почв на площадке строительства (п.2 ГОСТ 17.5.3.06-85, п. 1.3 ГОСТ 17.4.3.02-85, п. 8.4 СНиП 11-02-96 «Инженерные изыскания»)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3EA4" w:rsidRPr="00646810" w:rsidRDefault="00603EA4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10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331"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изменения;</w:t>
      </w:r>
    </w:p>
    <w:p w:rsidR="000C2331" w:rsidRPr="00646810" w:rsidRDefault="000C2331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10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экологического риска. 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16. Требования к точности, надежности, достоверности и обеспеченности необходи</w:t>
      </w: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softHyphen/>
        <w:t xml:space="preserve">мых данных и </w:t>
      </w:r>
      <w:r w:rsidRPr="0012765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характеристик при инженерных изысканиях для строительства</w:t>
      </w:r>
    </w:p>
    <w:p w:rsidR="009B6126" w:rsidRPr="00646810" w:rsidRDefault="005C0FA1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программой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17. Требования к составлению и содержанию прогноза изменений природных и техногенных условий</w:t>
      </w:r>
    </w:p>
    <w:p w:rsidR="005C0FA1" w:rsidRPr="00646810" w:rsidRDefault="005C0FA1" w:rsidP="003F3AD1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программой</w:t>
      </w:r>
    </w:p>
    <w:p w:rsidR="009B6126" w:rsidRPr="00127658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18. Требования к оценке опасности и риска от природных и техноприродных процессов</w:t>
      </w:r>
    </w:p>
    <w:p w:rsidR="00F55ECD" w:rsidRPr="00646810" w:rsidRDefault="00F55ECD" w:rsidP="00F55ECD">
      <w:pPr>
        <w:overflowPunct w:val="0"/>
        <w:autoSpaceDE w:val="0"/>
        <w:autoSpaceDN w:val="0"/>
        <w:adjustRightInd w:val="0"/>
        <w:spacing w:before="120" w:after="12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программой</w:t>
      </w:r>
    </w:p>
    <w:p w:rsidR="009B6126" w:rsidRPr="00922275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19. Требования к составу и форме представления изыскательской продукции </w:t>
      </w:r>
      <w:r w:rsidR="000C66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Заказчику</w:t>
      </w:r>
      <w:r w:rsidR="0092227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- застройщику</w:t>
      </w:r>
    </w:p>
    <w:p w:rsidR="005C0FA1" w:rsidRP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 xml:space="preserve">Изыскательская продукция должна быть передавлена заказчику в виде технического отчета о выполненных инженерных изысканиях, оформленного в </w:t>
      </w:r>
      <w:r w:rsidR="00127658" w:rsidRPr="0053448E">
        <w:rPr>
          <w:rFonts w:ascii="Times New Roman" w:hAnsi="Times New Roman" w:cs="Times New Roman"/>
          <w:sz w:val="24"/>
          <w:szCs w:val="24"/>
        </w:rPr>
        <w:t xml:space="preserve">и согласованного в </w:t>
      </w:r>
      <w:r w:rsidRPr="0053448E">
        <w:rPr>
          <w:rFonts w:ascii="Times New Roman" w:hAnsi="Times New Roman" w:cs="Times New Roman"/>
          <w:sz w:val="24"/>
          <w:szCs w:val="24"/>
        </w:rPr>
        <w:t>соответствии с требованиями нормативных документов и государственных стандартов, технических регламентов, состоящего из текстовой и графической частей и приложений (в текстовой, графической, цифровой и иных формах представления информации).</w:t>
      </w:r>
    </w:p>
    <w:p w:rsidR="005C0FA1" w:rsidRP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>В текстовой части технического отчета необходимо приводить информацию о задачах инженерных изысканий, местоположении района (площадки, трассы), характере проектируемых объектов строительства, видах, объемах и методах работ, сроках их проведения и исполнителях работ, сведения о соответствии результатов инженерных изысканий договору (контракту), а также материалы и данные результатов комплексного изучения природных и техногенных условий территории объекта строительства (региона, района, площадки, участка, трассы). 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органа, наличии лицензии на соответствующие виды инженерных изысканий (номер, срок действия, наименование органа, выдавшего лицензию), перечень исполнителей. Должны приводиться сведения о полноте и качестве выполненных работ (их соответствие техническому заданию и программе, требованиям нормативных документов по инженерным изысканиям для строительства).</w:t>
      </w:r>
    </w:p>
    <w:p w:rsidR="005C0FA1" w:rsidRP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>Характеристика природных и техногенных условий объекта строительства, приводимая в текстовой части технического отчета, должна содержать:</w:t>
      </w:r>
    </w:p>
    <w:p w:rsidR="005C0FA1" w:rsidRPr="00646810" w:rsidRDefault="005C0FA1" w:rsidP="00127658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646810">
        <w:rPr>
          <w:szCs w:val="24"/>
        </w:rPr>
        <w:t>прогноз возможных изменений природно-техногенных условий и рекомендации по учету их особенностей при строительном освоении территории (площадки, участка, трассы) для различных видов строительства с детальностью, отвечающей этапу (стадии) разработки предпроектной и проектной документации;</w:t>
      </w:r>
    </w:p>
    <w:p w:rsidR="005C0FA1" w:rsidRPr="00646810" w:rsidRDefault="005C0FA1" w:rsidP="00127658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646810">
        <w:rPr>
          <w:szCs w:val="24"/>
        </w:rPr>
        <w:t>оценку степени опасности, риска от природных и природно-техногенных процессов.</w:t>
      </w:r>
    </w:p>
    <w:p w:rsidR="005C0FA1" w:rsidRP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>Графическая часть технического отчета о выполненных инженерных изысканиях (комплексных или по отдельным видам инженерных изысканий) должна включать карты, планы, разрезы, профили, графики, таблицы параметров (характеристик, показателей), каталоги данных, содержащих основные результаты изучения, оценки и прогноза возможных изменений природных и техногенных условий объекта строительства.</w:t>
      </w:r>
    </w:p>
    <w:p w:rsidR="005C0FA1" w:rsidRP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>Структуру и содержание технического отчета о выполненных инженерных изысканиях для строительства (состав и содержание разделов, графических и текстовых документов) необходимо устанавливать в соответствии с требованиями настоящих строительных норм, технического задания заказчика и с учетом положений сводов правил на производство инженерных изысканий, характера (вида) строительства, отраслевой специфики и уровня ответственности проектируемых сооружений, сложности природных условий и размера территории объекта строительства, этапа (стадии) предпроектных и проектных работ.</w:t>
      </w:r>
    </w:p>
    <w:p w:rsidR="0053448E" w:rsidRDefault="005C0FA1" w:rsidP="0053448E">
      <w:pPr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3448E">
        <w:rPr>
          <w:rFonts w:ascii="Times New Roman" w:hAnsi="Times New Roman" w:cs="Times New Roman"/>
          <w:sz w:val="24"/>
          <w:szCs w:val="24"/>
        </w:rPr>
        <w:t>В состав приложений к техническому отчету должны включаться копии технического задания заказчика и регистрационных документов на производство изыскательских работ.</w:t>
      </w:r>
    </w:p>
    <w:p w:rsidR="0053448E" w:rsidRDefault="005344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6126" w:rsidRPr="00646810" w:rsidRDefault="009B6126" w:rsidP="003F3AD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20. </w:t>
      </w:r>
      <w:r w:rsidR="005C0FA1" w:rsidRPr="0064681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Исходные материалы: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ГПЗУ</w:t>
      </w:r>
    </w:p>
    <w:p w:rsidR="005C0FA1" w:rsidRPr="003F3AD1" w:rsidRDefault="00061549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 xml:space="preserve"> </w:t>
      </w:r>
      <w:r w:rsidR="005C0FA1" w:rsidRPr="003F3AD1">
        <w:rPr>
          <w:szCs w:val="24"/>
        </w:rPr>
        <w:t>«Инженерно-гидрогеологические», ЗАО «ДАР/ВОДГЕО», 2012г.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«Инженерно-геодезические изыскания — инженерно-</w:t>
      </w:r>
      <w:r w:rsidR="00127658" w:rsidRPr="003F3AD1">
        <w:rPr>
          <w:szCs w:val="24"/>
        </w:rPr>
        <w:t xml:space="preserve">топографический план </w:t>
      </w:r>
      <w:r w:rsidRPr="003F3AD1">
        <w:rPr>
          <w:szCs w:val="24"/>
        </w:rPr>
        <w:t xml:space="preserve">участка </w:t>
      </w:r>
      <w:r w:rsidR="00127658" w:rsidRPr="003F3AD1">
        <w:rPr>
          <w:szCs w:val="24"/>
        </w:rPr>
        <w:t xml:space="preserve">масштаба </w:t>
      </w:r>
      <w:r w:rsidRPr="003F3AD1">
        <w:rPr>
          <w:szCs w:val="24"/>
        </w:rPr>
        <w:t>1:500» , ГУП «Мосгоргеотрест», 2011г.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«Инженерно-геологические изыскания», ГУП «Мосгоргеотрест», 2010г.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«Инженерно-геологические изыскания», ООО «Геолоджикс», 2010г.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«Инженерно-экологические изыскания», ГУП «Мосгоргеотрест», 2010г.</w:t>
      </w:r>
    </w:p>
    <w:p w:rsidR="005C0FA1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>«Инженерные изыскания (инженерно-геологические работы) для строительства автомобильных дорог, инженерных сетей и искусственных сооружений на территории Инновационного центра «Сколково», ООО «Меридиан», 2012г.</w:t>
      </w:r>
    </w:p>
    <w:p w:rsidR="004612BF" w:rsidRPr="003F3AD1" w:rsidRDefault="005C0FA1" w:rsidP="003F3AD1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3F3AD1">
        <w:rPr>
          <w:szCs w:val="24"/>
        </w:rPr>
        <w:t xml:space="preserve">«Инженерно-гидрогеологические изыскания для строительства автомобильных дорог», ООО «ВТМ дорпроект», 2012г. </w:t>
      </w:r>
    </w:p>
    <w:sectPr w:rsidR="004612BF" w:rsidRPr="003F3AD1" w:rsidSect="001270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96" w:rsidRDefault="00156D96" w:rsidP="00127034">
      <w:pPr>
        <w:spacing w:after="0" w:line="240" w:lineRule="auto"/>
      </w:pPr>
      <w:r>
        <w:separator/>
      </w:r>
    </w:p>
  </w:endnote>
  <w:endnote w:type="continuationSeparator" w:id="0">
    <w:p w:rsidR="00156D96" w:rsidRDefault="00156D96" w:rsidP="0012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61" w:rsidRDefault="0081276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931882"/>
      <w:docPartObj>
        <w:docPartGallery w:val="Page Numbers (Bottom of Page)"/>
        <w:docPartUnique/>
      </w:docPartObj>
    </w:sdtPr>
    <w:sdtEndPr/>
    <w:sdtContent>
      <w:p w:rsidR="00812761" w:rsidRDefault="0081276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476">
          <w:rPr>
            <w:noProof/>
          </w:rPr>
          <w:t>10</w:t>
        </w:r>
        <w:r>
          <w:fldChar w:fldCharType="end"/>
        </w:r>
      </w:p>
    </w:sdtContent>
  </w:sdt>
  <w:p w:rsidR="00127034" w:rsidRDefault="0012703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61" w:rsidRDefault="0081276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96" w:rsidRDefault="00156D96" w:rsidP="00127034">
      <w:pPr>
        <w:spacing w:after="0" w:line="240" w:lineRule="auto"/>
      </w:pPr>
      <w:r>
        <w:separator/>
      </w:r>
    </w:p>
  </w:footnote>
  <w:footnote w:type="continuationSeparator" w:id="0">
    <w:p w:rsidR="00156D96" w:rsidRDefault="00156D96" w:rsidP="0012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61" w:rsidRDefault="0081276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61" w:rsidRDefault="0081276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761" w:rsidRDefault="0081276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C46"/>
    <w:multiLevelType w:val="hybridMultilevel"/>
    <w:tmpl w:val="4D5652DE"/>
    <w:lvl w:ilvl="0" w:tplc="A4BA163A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  <w:b w:val="0"/>
        <w:i w:val="0"/>
        <w:color w:val="auto"/>
        <w:spacing w:val="0"/>
        <w:sz w:val="22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4534"/>
    <w:multiLevelType w:val="hybridMultilevel"/>
    <w:tmpl w:val="CD5CC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62A36"/>
    <w:multiLevelType w:val="hybridMultilevel"/>
    <w:tmpl w:val="3CD8A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25261"/>
    <w:multiLevelType w:val="hybridMultilevel"/>
    <w:tmpl w:val="0F7C79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D125F5F"/>
    <w:multiLevelType w:val="hybridMultilevel"/>
    <w:tmpl w:val="0ECCE2AA"/>
    <w:lvl w:ilvl="0" w:tplc="688A16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E8A477E"/>
    <w:multiLevelType w:val="hybridMultilevel"/>
    <w:tmpl w:val="EB9E93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FC608D5"/>
    <w:multiLevelType w:val="hybridMultilevel"/>
    <w:tmpl w:val="22D6B1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4A30448"/>
    <w:multiLevelType w:val="hybridMultilevel"/>
    <w:tmpl w:val="FC9221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48723D0"/>
    <w:multiLevelType w:val="hybridMultilevel"/>
    <w:tmpl w:val="077C6062"/>
    <w:lvl w:ilvl="0" w:tplc="FFFFFFFF">
      <w:start w:val="1"/>
      <w:numFmt w:val="russianLower"/>
      <w:lvlText w:val="%1)"/>
      <w:lvlJc w:val="left"/>
      <w:pPr>
        <w:ind w:left="2291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E457B16"/>
    <w:multiLevelType w:val="hybridMultilevel"/>
    <w:tmpl w:val="CDAE20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61"/>
    <w:rsid w:val="0003324E"/>
    <w:rsid w:val="00045C6A"/>
    <w:rsid w:val="000517C8"/>
    <w:rsid w:val="00052D29"/>
    <w:rsid w:val="00061549"/>
    <w:rsid w:val="0006376F"/>
    <w:rsid w:val="00076109"/>
    <w:rsid w:val="000806E9"/>
    <w:rsid w:val="000931C1"/>
    <w:rsid w:val="000B2572"/>
    <w:rsid w:val="000B615C"/>
    <w:rsid w:val="000C02BD"/>
    <w:rsid w:val="000C2331"/>
    <w:rsid w:val="000C36BD"/>
    <w:rsid w:val="000C6676"/>
    <w:rsid w:val="00107AB6"/>
    <w:rsid w:val="00120A34"/>
    <w:rsid w:val="00127034"/>
    <w:rsid w:val="00127658"/>
    <w:rsid w:val="001354A0"/>
    <w:rsid w:val="001414F4"/>
    <w:rsid w:val="0015098D"/>
    <w:rsid w:val="00152D53"/>
    <w:rsid w:val="0015452D"/>
    <w:rsid w:val="00156D96"/>
    <w:rsid w:val="001713A4"/>
    <w:rsid w:val="00172F8F"/>
    <w:rsid w:val="00175714"/>
    <w:rsid w:val="00194E4B"/>
    <w:rsid w:val="001977CB"/>
    <w:rsid w:val="001A26E2"/>
    <w:rsid w:val="001E069C"/>
    <w:rsid w:val="001F16C3"/>
    <w:rsid w:val="0021212C"/>
    <w:rsid w:val="00214332"/>
    <w:rsid w:val="002257EA"/>
    <w:rsid w:val="00261A9A"/>
    <w:rsid w:val="0029201E"/>
    <w:rsid w:val="002A6EAA"/>
    <w:rsid w:val="002B34A9"/>
    <w:rsid w:val="002D218A"/>
    <w:rsid w:val="002E37FF"/>
    <w:rsid w:val="002F2AA8"/>
    <w:rsid w:val="00303541"/>
    <w:rsid w:val="003106BB"/>
    <w:rsid w:val="00314B39"/>
    <w:rsid w:val="00320164"/>
    <w:rsid w:val="003263D6"/>
    <w:rsid w:val="00330497"/>
    <w:rsid w:val="003547EB"/>
    <w:rsid w:val="00366D94"/>
    <w:rsid w:val="00381D68"/>
    <w:rsid w:val="00395C08"/>
    <w:rsid w:val="003C0D20"/>
    <w:rsid w:val="003C15BC"/>
    <w:rsid w:val="003C61FD"/>
    <w:rsid w:val="003C79F7"/>
    <w:rsid w:val="003F3AD1"/>
    <w:rsid w:val="003F4606"/>
    <w:rsid w:val="003F5DDE"/>
    <w:rsid w:val="003F6A89"/>
    <w:rsid w:val="0041534C"/>
    <w:rsid w:val="00424648"/>
    <w:rsid w:val="00431600"/>
    <w:rsid w:val="00447A56"/>
    <w:rsid w:val="004500C4"/>
    <w:rsid w:val="004579F9"/>
    <w:rsid w:val="004612BF"/>
    <w:rsid w:val="004727E4"/>
    <w:rsid w:val="004750B3"/>
    <w:rsid w:val="00497C61"/>
    <w:rsid w:val="004A007C"/>
    <w:rsid w:val="004A2635"/>
    <w:rsid w:val="004B0BB9"/>
    <w:rsid w:val="004C1024"/>
    <w:rsid w:val="004C2DD6"/>
    <w:rsid w:val="004C6B99"/>
    <w:rsid w:val="004D24A6"/>
    <w:rsid w:val="004D342B"/>
    <w:rsid w:val="00503191"/>
    <w:rsid w:val="00520973"/>
    <w:rsid w:val="0053448E"/>
    <w:rsid w:val="00540E0B"/>
    <w:rsid w:val="00542BE4"/>
    <w:rsid w:val="00545F09"/>
    <w:rsid w:val="005665EB"/>
    <w:rsid w:val="005830AC"/>
    <w:rsid w:val="00596CCF"/>
    <w:rsid w:val="00596F80"/>
    <w:rsid w:val="005B2513"/>
    <w:rsid w:val="005C0FA1"/>
    <w:rsid w:val="005E78D0"/>
    <w:rsid w:val="00603EA4"/>
    <w:rsid w:val="006309BC"/>
    <w:rsid w:val="006371CB"/>
    <w:rsid w:val="006454F9"/>
    <w:rsid w:val="0064669F"/>
    <w:rsid w:val="00646810"/>
    <w:rsid w:val="00656F4A"/>
    <w:rsid w:val="00665AB5"/>
    <w:rsid w:val="00697D54"/>
    <w:rsid w:val="006C4050"/>
    <w:rsid w:val="006D3476"/>
    <w:rsid w:val="006E794A"/>
    <w:rsid w:val="006E7C87"/>
    <w:rsid w:val="006F4253"/>
    <w:rsid w:val="00704D0C"/>
    <w:rsid w:val="00740846"/>
    <w:rsid w:val="007444F8"/>
    <w:rsid w:val="00754D93"/>
    <w:rsid w:val="00762817"/>
    <w:rsid w:val="00763F2E"/>
    <w:rsid w:val="007700B5"/>
    <w:rsid w:val="00776D07"/>
    <w:rsid w:val="007B1227"/>
    <w:rsid w:val="007C6DA2"/>
    <w:rsid w:val="007D22AD"/>
    <w:rsid w:val="007E000C"/>
    <w:rsid w:val="007E2A7E"/>
    <w:rsid w:val="007F223A"/>
    <w:rsid w:val="007F6B48"/>
    <w:rsid w:val="00803551"/>
    <w:rsid w:val="00805205"/>
    <w:rsid w:val="00812761"/>
    <w:rsid w:val="00821931"/>
    <w:rsid w:val="008475AF"/>
    <w:rsid w:val="00863C5A"/>
    <w:rsid w:val="00887D5F"/>
    <w:rsid w:val="008C74FA"/>
    <w:rsid w:val="008D0ADE"/>
    <w:rsid w:val="008D3198"/>
    <w:rsid w:val="008E1DD6"/>
    <w:rsid w:val="009206DB"/>
    <w:rsid w:val="00922275"/>
    <w:rsid w:val="00922EB5"/>
    <w:rsid w:val="00934DAA"/>
    <w:rsid w:val="0095436B"/>
    <w:rsid w:val="00977093"/>
    <w:rsid w:val="0098219B"/>
    <w:rsid w:val="00987773"/>
    <w:rsid w:val="009A35C7"/>
    <w:rsid w:val="009B6126"/>
    <w:rsid w:val="009D1A6F"/>
    <w:rsid w:val="009D5568"/>
    <w:rsid w:val="009E1060"/>
    <w:rsid w:val="009E799D"/>
    <w:rsid w:val="009F4165"/>
    <w:rsid w:val="009F4223"/>
    <w:rsid w:val="00A14272"/>
    <w:rsid w:val="00A15F4D"/>
    <w:rsid w:val="00A17F0D"/>
    <w:rsid w:val="00A24B55"/>
    <w:rsid w:val="00A3358F"/>
    <w:rsid w:val="00A4720C"/>
    <w:rsid w:val="00A51284"/>
    <w:rsid w:val="00A542C7"/>
    <w:rsid w:val="00A55CB2"/>
    <w:rsid w:val="00A56F5C"/>
    <w:rsid w:val="00AD43F0"/>
    <w:rsid w:val="00AF1577"/>
    <w:rsid w:val="00B04361"/>
    <w:rsid w:val="00B06AAD"/>
    <w:rsid w:val="00B1277F"/>
    <w:rsid w:val="00B221E8"/>
    <w:rsid w:val="00B30935"/>
    <w:rsid w:val="00B37EED"/>
    <w:rsid w:val="00B47BAF"/>
    <w:rsid w:val="00B567FB"/>
    <w:rsid w:val="00B7043F"/>
    <w:rsid w:val="00B7235C"/>
    <w:rsid w:val="00B77A33"/>
    <w:rsid w:val="00B84899"/>
    <w:rsid w:val="00B84C71"/>
    <w:rsid w:val="00B87949"/>
    <w:rsid w:val="00BA0315"/>
    <w:rsid w:val="00BA25A4"/>
    <w:rsid w:val="00BA6139"/>
    <w:rsid w:val="00BC79D3"/>
    <w:rsid w:val="00BE52FB"/>
    <w:rsid w:val="00BE70DA"/>
    <w:rsid w:val="00BE7F0F"/>
    <w:rsid w:val="00BF2673"/>
    <w:rsid w:val="00C22E53"/>
    <w:rsid w:val="00C26F17"/>
    <w:rsid w:val="00C551B9"/>
    <w:rsid w:val="00C701E7"/>
    <w:rsid w:val="00C730A8"/>
    <w:rsid w:val="00C80AFC"/>
    <w:rsid w:val="00C82CAC"/>
    <w:rsid w:val="00C86408"/>
    <w:rsid w:val="00C9248A"/>
    <w:rsid w:val="00CA7F38"/>
    <w:rsid w:val="00CD02AE"/>
    <w:rsid w:val="00CE561E"/>
    <w:rsid w:val="00CE6E77"/>
    <w:rsid w:val="00D07221"/>
    <w:rsid w:val="00D11912"/>
    <w:rsid w:val="00D16E9C"/>
    <w:rsid w:val="00D22C04"/>
    <w:rsid w:val="00D36CED"/>
    <w:rsid w:val="00D77921"/>
    <w:rsid w:val="00D87044"/>
    <w:rsid w:val="00D871AE"/>
    <w:rsid w:val="00DA0ED3"/>
    <w:rsid w:val="00DB5C90"/>
    <w:rsid w:val="00DE229F"/>
    <w:rsid w:val="00DE4C09"/>
    <w:rsid w:val="00E23BF1"/>
    <w:rsid w:val="00E41DB5"/>
    <w:rsid w:val="00E458DD"/>
    <w:rsid w:val="00E6156A"/>
    <w:rsid w:val="00E7665A"/>
    <w:rsid w:val="00E829C6"/>
    <w:rsid w:val="00EA0A32"/>
    <w:rsid w:val="00EB79B3"/>
    <w:rsid w:val="00EC786C"/>
    <w:rsid w:val="00ED6D76"/>
    <w:rsid w:val="00EE071A"/>
    <w:rsid w:val="00EF311E"/>
    <w:rsid w:val="00F0158F"/>
    <w:rsid w:val="00F029C0"/>
    <w:rsid w:val="00F55ECD"/>
    <w:rsid w:val="00F81B97"/>
    <w:rsid w:val="00F9652E"/>
    <w:rsid w:val="00FA72B9"/>
    <w:rsid w:val="00FA7AC8"/>
    <w:rsid w:val="00FB5473"/>
    <w:rsid w:val="00FB6B20"/>
    <w:rsid w:val="00FB6CCC"/>
    <w:rsid w:val="00FB7179"/>
    <w:rsid w:val="00FE18FA"/>
    <w:rsid w:val="00FE3158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7C61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F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1F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727E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27E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27E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27E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27E4"/>
    <w:rPr>
      <w:b/>
      <w:bCs/>
      <w:sz w:val="20"/>
      <w:szCs w:val="20"/>
    </w:rPr>
  </w:style>
  <w:style w:type="table" w:styleId="ac">
    <w:name w:val="Table Grid"/>
    <w:basedOn w:val="a1"/>
    <w:rsid w:val="001713A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12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27034"/>
  </w:style>
  <w:style w:type="paragraph" w:styleId="af">
    <w:name w:val="footer"/>
    <w:basedOn w:val="a"/>
    <w:link w:val="af0"/>
    <w:uiPriority w:val="99"/>
    <w:unhideWhenUsed/>
    <w:rsid w:val="0012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27034"/>
  </w:style>
  <w:style w:type="character" w:customStyle="1" w:styleId="a4">
    <w:name w:val="Абзац списка Знак"/>
    <w:basedOn w:val="a0"/>
    <w:link w:val="a3"/>
    <w:uiPriority w:val="34"/>
    <w:rsid w:val="00424648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7C61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F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1F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727E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27E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27E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27E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27E4"/>
    <w:rPr>
      <w:b/>
      <w:bCs/>
      <w:sz w:val="20"/>
      <w:szCs w:val="20"/>
    </w:rPr>
  </w:style>
  <w:style w:type="table" w:styleId="ac">
    <w:name w:val="Table Grid"/>
    <w:basedOn w:val="a1"/>
    <w:rsid w:val="001713A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12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27034"/>
  </w:style>
  <w:style w:type="paragraph" w:styleId="af">
    <w:name w:val="footer"/>
    <w:basedOn w:val="a"/>
    <w:link w:val="af0"/>
    <w:uiPriority w:val="99"/>
    <w:unhideWhenUsed/>
    <w:rsid w:val="0012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27034"/>
  </w:style>
  <w:style w:type="character" w:customStyle="1" w:styleId="a4">
    <w:name w:val="Абзац списка Знак"/>
    <w:basedOn w:val="a0"/>
    <w:link w:val="a3"/>
    <w:uiPriority w:val="34"/>
    <w:rsid w:val="004246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Kalimullin Rinat</cp:lastModifiedBy>
  <cp:revision>12</cp:revision>
  <cp:lastPrinted>2013-01-24T06:31:00Z</cp:lastPrinted>
  <dcterms:created xsi:type="dcterms:W3CDTF">2013-04-18T05:49:00Z</dcterms:created>
  <dcterms:modified xsi:type="dcterms:W3CDTF">2013-06-05T08:23:00Z</dcterms:modified>
</cp:coreProperties>
</file>